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A7" w:rsidRPr="00465D73" w:rsidRDefault="00AC32A7" w:rsidP="00AC32A7">
      <w:pPr>
        <w:pStyle w:val="Appendix"/>
        <w:tabs>
          <w:tab w:val="clear" w:pos="567"/>
        </w:tabs>
        <w:ind w:left="0" w:firstLine="0"/>
      </w:pPr>
      <w:bookmarkStart w:id="0" w:name="_Toc297204827"/>
      <w:r w:rsidRPr="00AC32A7">
        <w:t>Appendix 3</w:t>
      </w:r>
      <w:r w:rsidRPr="00AC32A7">
        <w:br/>
      </w:r>
      <w:bookmarkStart w:id="1" w:name="_Toc42680430"/>
      <w:bookmarkStart w:id="2" w:name="_Ref65382742"/>
      <w:bookmarkStart w:id="3" w:name="_Ref66506767"/>
      <w:bookmarkStart w:id="4" w:name="_Ref116818918"/>
      <w:bookmarkStart w:id="5" w:name="_Toc193628808"/>
      <w:bookmarkStart w:id="6" w:name="_Toc204601830"/>
      <w:bookmarkStart w:id="7" w:name="_Toc255146566"/>
      <w:bookmarkStart w:id="8" w:name="_Toc293607173"/>
      <w:bookmarkStart w:id="9" w:name="_Toc297210338"/>
      <w:bookmarkStart w:id="10" w:name="_Toc297210786"/>
      <w:bookmarkStart w:id="11" w:name="_Toc297210879"/>
      <w:bookmarkStart w:id="12" w:name="_Toc297212079"/>
      <w:bookmarkStart w:id="13" w:name="OLE_LINK3"/>
      <w:r w:rsidRPr="00465D73">
        <w:t xml:space="preserve">Special provisions for </w:t>
      </w:r>
      <w:bookmarkEnd w:id="1"/>
      <w:bookmarkEnd w:id="2"/>
      <w:bookmarkEnd w:id="3"/>
      <w:bookmarkEnd w:id="4"/>
      <w:bookmarkEnd w:id="5"/>
      <w:bookmarkEnd w:id="6"/>
      <w:bookmarkEnd w:id="7"/>
      <w:r>
        <w:t>RELs</w:t>
      </w:r>
      <w:bookmarkEnd w:id="0"/>
      <w:bookmarkEnd w:id="8"/>
      <w:bookmarkEnd w:id="9"/>
      <w:bookmarkEnd w:id="10"/>
      <w:bookmarkEnd w:id="11"/>
      <w:bookmarkEnd w:id="12"/>
      <w:bookmarkEnd w:id="13"/>
    </w:p>
    <w:p w:rsidR="00AC32A7" w:rsidRPr="00465D73" w:rsidRDefault="00AC32A7" w:rsidP="00AC32A7">
      <w:pPr>
        <w:pStyle w:val="Body2"/>
        <w:keepNext/>
        <w:ind w:hanging="567"/>
      </w:pPr>
      <w:r w:rsidRPr="00465D73">
        <w:t>1</w:t>
      </w:r>
      <w:r w:rsidRPr="00465D73">
        <w:tab/>
        <w:t>If:</w:t>
      </w:r>
    </w:p>
    <w:p w:rsidR="00AC32A7" w:rsidRPr="00465D73" w:rsidRDefault="00AC32A7" w:rsidP="00AC32A7">
      <w:pPr>
        <w:pStyle w:val="Body2"/>
        <w:ind w:left="1134" w:hanging="567"/>
      </w:pPr>
      <w:r w:rsidRPr="00465D73">
        <w:t>(a)</w:t>
      </w:r>
      <w:r w:rsidRPr="00465D73">
        <w:tab/>
        <w:t xml:space="preserve">one or more of the </w:t>
      </w:r>
      <w:r w:rsidRPr="00C373F2">
        <w:rPr>
          <w:i/>
        </w:rPr>
        <w:t xml:space="preserve">principals </w:t>
      </w:r>
      <w:r w:rsidRPr="00465D73">
        <w:t xml:space="preserve">of an </w:t>
      </w:r>
      <w:r w:rsidRPr="00C373F2">
        <w:rPr>
          <w:i/>
        </w:rPr>
        <w:t xml:space="preserve">insured firm </w:t>
      </w:r>
      <w:r w:rsidRPr="00465D73">
        <w:t xml:space="preserve">are </w:t>
      </w:r>
      <w:r w:rsidRPr="00C373F2">
        <w:rPr>
          <w:i/>
        </w:rPr>
        <w:t xml:space="preserve">RELs </w:t>
      </w:r>
      <w:r w:rsidRPr="00465D73">
        <w:t xml:space="preserve">who claim that professional indemnity insurance, or a professional indemnity fund, under their home professional rules provides the </w:t>
      </w:r>
      <w:r w:rsidRPr="00C373F2">
        <w:rPr>
          <w:i/>
        </w:rPr>
        <w:t xml:space="preserve">insured firm’s practice </w:t>
      </w:r>
      <w:r w:rsidRPr="00465D73">
        <w:t xml:space="preserve">with professional indemnity cover in all respects equivalent in its conditions and extent to that which would be provided under the </w:t>
      </w:r>
      <w:r w:rsidRPr="00C373F2">
        <w:rPr>
          <w:i/>
        </w:rPr>
        <w:t xml:space="preserve">MTC </w:t>
      </w:r>
      <w:r w:rsidRPr="00465D73">
        <w:t>(</w:t>
      </w:r>
      <w:r w:rsidRPr="00465D73">
        <w:rPr>
          <w:b/>
        </w:rPr>
        <w:t>Full Home State Cover</w:t>
      </w:r>
      <w:r w:rsidRPr="00465D73">
        <w:t>); and</w:t>
      </w:r>
    </w:p>
    <w:p w:rsidR="00AC32A7" w:rsidRPr="00465D73" w:rsidRDefault="00AC32A7" w:rsidP="00AC32A7">
      <w:pPr>
        <w:pStyle w:val="Body2"/>
        <w:ind w:left="1134" w:hanging="567"/>
      </w:pPr>
      <w:r w:rsidRPr="00465D73">
        <w:t>(b)</w:t>
      </w:r>
      <w:r w:rsidRPr="00465D73">
        <w:tab/>
        <w:t xml:space="preserve">the </w:t>
      </w:r>
      <w:r w:rsidRPr="00C373F2">
        <w:rPr>
          <w:i/>
        </w:rPr>
        <w:t>Council</w:t>
      </w:r>
      <w:r w:rsidRPr="00465D73">
        <w:t xml:space="preserve"> is so satisfied, (including, without limitation, by reason of any provider of the Full Home State Cover entering into such agreement as the </w:t>
      </w:r>
      <w:r w:rsidRPr="00C373F2">
        <w:rPr>
          <w:i/>
        </w:rPr>
        <w:t xml:space="preserve">Council </w:t>
      </w:r>
      <w:r w:rsidRPr="00465D73">
        <w:t xml:space="preserve">may require from time to time but provided that the </w:t>
      </w:r>
      <w:r w:rsidRPr="00C373F2">
        <w:rPr>
          <w:i/>
        </w:rPr>
        <w:t xml:space="preserve">Council </w:t>
      </w:r>
      <w:r w:rsidRPr="00465D73">
        <w:t xml:space="preserve">shall not be so satisfied if more than 25% of the </w:t>
      </w:r>
      <w:r w:rsidRPr="00C373F2">
        <w:rPr>
          <w:i/>
        </w:rPr>
        <w:t xml:space="preserve">principals </w:t>
      </w:r>
      <w:r w:rsidRPr="00465D73">
        <w:t xml:space="preserve">are </w:t>
      </w:r>
      <w:r w:rsidRPr="00C373F2">
        <w:rPr>
          <w:i/>
        </w:rPr>
        <w:t>solicitors</w:t>
      </w:r>
      <w:r w:rsidRPr="00465D73">
        <w:t>),</w:t>
      </w:r>
    </w:p>
    <w:p w:rsidR="00AC32A7" w:rsidRPr="00465D73" w:rsidRDefault="00AC32A7" w:rsidP="00AC32A7">
      <w:pPr>
        <w:pStyle w:val="Body2"/>
      </w:pPr>
      <w:r w:rsidRPr="00465D73">
        <w:t xml:space="preserve">the </w:t>
      </w:r>
      <w:r w:rsidRPr="00C373F2">
        <w:rPr>
          <w:i/>
        </w:rPr>
        <w:t xml:space="preserve">insured firm </w:t>
      </w:r>
      <w:r w:rsidRPr="00465D73">
        <w:t xml:space="preserve">and its </w:t>
      </w:r>
      <w:r w:rsidRPr="00C373F2">
        <w:rPr>
          <w:i/>
        </w:rPr>
        <w:t xml:space="preserve">principals </w:t>
      </w:r>
      <w:r w:rsidRPr="00465D73">
        <w:t xml:space="preserve">shall for so long as such cover continues (and, where the </w:t>
      </w:r>
      <w:r w:rsidRPr="00C373F2">
        <w:rPr>
          <w:i/>
        </w:rPr>
        <w:t xml:space="preserve">Council </w:t>
      </w:r>
      <w:r w:rsidRPr="00465D73">
        <w:t xml:space="preserve">has required such agreement, for so long as such agreement remains in force and its requirements are complied with by the provider(s) of the Full Home State Cover that are party to it) be exempted from the obligation to take out and maintain </w:t>
      </w:r>
      <w:r w:rsidRPr="00C373F2">
        <w:rPr>
          <w:i/>
        </w:rPr>
        <w:t>qualifying insurance</w:t>
      </w:r>
      <w:r w:rsidRPr="00465D73">
        <w:t xml:space="preserve">. </w:t>
      </w:r>
    </w:p>
    <w:p w:rsidR="00AC32A7" w:rsidRPr="00465D73" w:rsidRDefault="00AC32A7" w:rsidP="00AC32A7">
      <w:pPr>
        <w:pStyle w:val="Body2"/>
        <w:ind w:hanging="567"/>
      </w:pPr>
      <w:r w:rsidRPr="00465D73">
        <w:t>2</w:t>
      </w:r>
      <w:r w:rsidRPr="00465D73">
        <w:tab/>
        <w:t xml:space="preserve">If on an application by one or more </w:t>
      </w:r>
      <w:r w:rsidRPr="00C373F2">
        <w:rPr>
          <w:i/>
        </w:rPr>
        <w:t xml:space="preserve">RELs </w:t>
      </w:r>
      <w:r w:rsidRPr="00465D73">
        <w:t xml:space="preserve">who are </w:t>
      </w:r>
      <w:r w:rsidRPr="00C373F2">
        <w:rPr>
          <w:i/>
        </w:rPr>
        <w:t xml:space="preserve">principals </w:t>
      </w:r>
      <w:r w:rsidRPr="00465D73">
        <w:t xml:space="preserve">in an </w:t>
      </w:r>
      <w:r w:rsidRPr="00C373F2">
        <w:rPr>
          <w:i/>
        </w:rPr>
        <w:t>insured firm</w:t>
      </w:r>
      <w:r>
        <w:t xml:space="preserve">, the </w:t>
      </w:r>
      <w:r w:rsidRPr="00C373F2">
        <w:rPr>
          <w:i/>
        </w:rPr>
        <w:t xml:space="preserve">Council </w:t>
      </w:r>
      <w:r w:rsidRPr="00465D73">
        <w:t xml:space="preserve">is satisfied that the </w:t>
      </w:r>
      <w:r w:rsidRPr="00C373F2">
        <w:rPr>
          <w:i/>
        </w:rPr>
        <w:t xml:space="preserve">insured firm’s practice </w:t>
      </w:r>
      <w:r w:rsidRPr="00465D73">
        <w:t>has professional indemnity cover under home professional rules but that the equivalence is only partial (</w:t>
      </w:r>
      <w:r w:rsidRPr="00465D73">
        <w:rPr>
          <w:b/>
        </w:rPr>
        <w:t>Partial</w:t>
      </w:r>
      <w:r w:rsidRPr="00465D73">
        <w:t xml:space="preserve"> </w:t>
      </w:r>
      <w:r w:rsidRPr="00465D73">
        <w:rPr>
          <w:b/>
        </w:rPr>
        <w:t>Home State Cover</w:t>
      </w:r>
      <w:r w:rsidRPr="00465D73">
        <w:t xml:space="preserve">) (including, without limitation, by reason of the provider of the Partial Home State Cover entering into such agreement as the </w:t>
      </w:r>
      <w:r w:rsidRPr="00C373F2">
        <w:rPr>
          <w:i/>
        </w:rPr>
        <w:t xml:space="preserve">Council </w:t>
      </w:r>
      <w:r w:rsidRPr="00465D73">
        <w:t xml:space="preserve">may require from time to time), the </w:t>
      </w:r>
      <w:r w:rsidRPr="00C373F2">
        <w:rPr>
          <w:i/>
        </w:rPr>
        <w:t xml:space="preserve">insured firm </w:t>
      </w:r>
      <w:r w:rsidRPr="00465D73">
        <w:t xml:space="preserve">and its </w:t>
      </w:r>
      <w:r w:rsidRPr="00C373F2">
        <w:rPr>
          <w:i/>
        </w:rPr>
        <w:t xml:space="preserve">principals </w:t>
      </w:r>
      <w:r w:rsidRPr="00465D73">
        <w:t xml:space="preserve">shall for so long as such cover continues (and, where the </w:t>
      </w:r>
      <w:r w:rsidRPr="00C373F2">
        <w:rPr>
          <w:i/>
        </w:rPr>
        <w:t xml:space="preserve">Council </w:t>
      </w:r>
      <w:r w:rsidRPr="00465D73">
        <w:t xml:space="preserve">has required such agreement, for so long as such agreement remains in force and its requirements are complied with by the provider(s) of the </w:t>
      </w:r>
      <w:r>
        <w:t>P</w:t>
      </w:r>
      <w:r w:rsidRPr="00465D73">
        <w:t xml:space="preserve">artial Home State Cover that are party to it) be exempted from the obligation to take out and maintain </w:t>
      </w:r>
      <w:r w:rsidRPr="00C373F2">
        <w:rPr>
          <w:i/>
        </w:rPr>
        <w:t>qualifying insurance</w:t>
      </w:r>
      <w:r w:rsidRPr="00465D73">
        <w:t xml:space="preserve">, on condition that they take out and maintain a </w:t>
      </w:r>
      <w:r w:rsidRPr="00C373F2">
        <w:rPr>
          <w:i/>
        </w:rPr>
        <w:t>difference in conditions policy</w:t>
      </w:r>
      <w:r w:rsidRPr="00465D73">
        <w:t xml:space="preserve">, which shall provide cover including the </w:t>
      </w:r>
      <w:r w:rsidRPr="00C373F2">
        <w:rPr>
          <w:i/>
        </w:rPr>
        <w:t>M</w:t>
      </w:r>
      <w:r w:rsidRPr="00C373F2">
        <w:rPr>
          <w:i/>
          <w:lang w:val="en-US"/>
        </w:rPr>
        <w:t xml:space="preserve">TC </w:t>
      </w:r>
      <w:r w:rsidRPr="00465D73">
        <w:t>as modified by the following changes (but not otherwise):</w:t>
      </w:r>
    </w:p>
    <w:p w:rsidR="00AC32A7" w:rsidRPr="00465D73" w:rsidRDefault="00AC32A7" w:rsidP="00AC32A7">
      <w:pPr>
        <w:pStyle w:val="Heading4"/>
        <w:numPr>
          <w:ilvl w:val="3"/>
          <w:numId w:val="1"/>
        </w:numPr>
      </w:pPr>
      <w:r w:rsidRPr="00465D73">
        <w:t>Clause 4.5 shall be deleted and replaced with the following:</w:t>
      </w:r>
    </w:p>
    <w:p w:rsidR="00AC32A7" w:rsidRPr="00465D73" w:rsidRDefault="00AC32A7" w:rsidP="00AC32A7">
      <w:pPr>
        <w:keepNext/>
        <w:spacing w:after="240"/>
        <w:ind w:left="1985" w:hanging="709"/>
        <w:rPr>
          <w:b/>
        </w:rPr>
      </w:pPr>
      <w:r w:rsidRPr="00465D73">
        <w:rPr>
          <w:b/>
        </w:rPr>
        <w:t>4.5</w:t>
      </w:r>
      <w:r w:rsidRPr="00465D73">
        <w:rPr>
          <w:b/>
        </w:rPr>
        <w:tab/>
        <w:t>No ‘other insurance’ provision</w:t>
      </w:r>
    </w:p>
    <w:p w:rsidR="00AC32A7" w:rsidRPr="00465D73" w:rsidRDefault="00AC32A7" w:rsidP="00AC32A7">
      <w:pPr>
        <w:pStyle w:val="Body1"/>
        <w:tabs>
          <w:tab w:val="left" w:pos="2552"/>
        </w:tabs>
        <w:ind w:left="1985"/>
      </w:pPr>
      <w:r w:rsidRPr="00465D73">
        <w:t xml:space="preserve">The insurance must not provide that the liability of the </w:t>
      </w:r>
      <w:r w:rsidRPr="00C373F2">
        <w:rPr>
          <w:i/>
        </w:rPr>
        <w:t xml:space="preserve">insurer </w:t>
      </w:r>
      <w:r w:rsidRPr="00465D73">
        <w:t xml:space="preserve">is reduced or excluded by reason of the existence or availability of any other insurance other than as contemplated by clauses 6.2 or 6.12.  For the avoidance of doubt, this requirement is not intended to affect any right of the </w:t>
      </w:r>
      <w:r w:rsidRPr="00C373F2">
        <w:rPr>
          <w:i/>
        </w:rPr>
        <w:t xml:space="preserve">insurer </w:t>
      </w:r>
      <w:r w:rsidRPr="00465D73">
        <w:t xml:space="preserve">to claim contribution from any other </w:t>
      </w:r>
      <w:r w:rsidRPr="00C373F2">
        <w:rPr>
          <w:i/>
        </w:rPr>
        <w:t xml:space="preserve">insurer </w:t>
      </w:r>
      <w:r w:rsidRPr="00465D73">
        <w:t xml:space="preserve">which is also liable to indemnify any </w:t>
      </w:r>
      <w:r w:rsidRPr="00C373F2">
        <w:rPr>
          <w:i/>
        </w:rPr>
        <w:t>insured</w:t>
      </w:r>
      <w:r w:rsidRPr="00465D73">
        <w:t>.</w:t>
      </w:r>
    </w:p>
    <w:p w:rsidR="00AC32A7" w:rsidRPr="00465D73" w:rsidRDefault="00AC32A7" w:rsidP="00AC32A7">
      <w:pPr>
        <w:pStyle w:val="Heading4"/>
        <w:numPr>
          <w:ilvl w:val="3"/>
          <w:numId w:val="1"/>
        </w:numPr>
      </w:pPr>
      <w:r w:rsidRPr="00465D73">
        <w:t>Clause 4.9 shall be deleted and replaced with the following:</w:t>
      </w:r>
    </w:p>
    <w:p w:rsidR="00AC32A7" w:rsidRPr="00465D73" w:rsidRDefault="00AC32A7" w:rsidP="00AC32A7">
      <w:pPr>
        <w:keepNext/>
        <w:spacing w:after="240"/>
        <w:ind w:left="1985" w:hanging="709"/>
        <w:rPr>
          <w:b/>
        </w:rPr>
      </w:pPr>
      <w:r w:rsidRPr="00465D73">
        <w:rPr>
          <w:b/>
        </w:rPr>
        <w:t>4.9</w:t>
      </w:r>
      <w:r w:rsidRPr="00465D73">
        <w:rPr>
          <w:b/>
        </w:rPr>
        <w:tab/>
        <w:t>Resolution of disputes</w:t>
      </w:r>
    </w:p>
    <w:p w:rsidR="00AC32A7" w:rsidRPr="00465D73" w:rsidRDefault="00AC32A7" w:rsidP="00AC32A7">
      <w:pPr>
        <w:pStyle w:val="Body1"/>
        <w:ind w:left="1985"/>
      </w:pPr>
      <w:r w:rsidRPr="00465D73">
        <w:t xml:space="preserve">The insurance must provide that, if there is a dispute as to whether a </w:t>
      </w:r>
      <w:r w:rsidRPr="00C373F2">
        <w:rPr>
          <w:i/>
        </w:rPr>
        <w:t xml:space="preserve">practice </w:t>
      </w:r>
      <w:r w:rsidRPr="00465D73">
        <w:t xml:space="preserve">is a </w:t>
      </w:r>
      <w:r w:rsidRPr="00C373F2">
        <w:rPr>
          <w:i/>
        </w:rPr>
        <w:t>successor practice</w:t>
      </w:r>
      <w:r w:rsidRPr="00465D73">
        <w:t xml:space="preserve"> for the purposes of clauses 1.4, 1.6 or 5.</w:t>
      </w:r>
      <w:r w:rsidR="00FD58C4">
        <w:t>6</w:t>
      </w:r>
      <w:r w:rsidRPr="00465D73">
        <w:t xml:space="preserve">, the </w:t>
      </w:r>
      <w:r w:rsidRPr="00C373F2">
        <w:rPr>
          <w:i/>
        </w:rPr>
        <w:t xml:space="preserve">insured </w:t>
      </w:r>
      <w:r w:rsidRPr="00465D73">
        <w:t xml:space="preserve">and the </w:t>
      </w:r>
      <w:r w:rsidRPr="00C373F2">
        <w:rPr>
          <w:i/>
        </w:rPr>
        <w:t xml:space="preserve">insurer </w:t>
      </w:r>
      <w:r w:rsidRPr="00465D73">
        <w:t xml:space="preserve">will take all reasonable steps (including, if appropriate, referring the dispute to arbitration) to resolve the dispute in conjunction with any related dispute between any other party which has insurance complying with these </w:t>
      </w:r>
      <w:r w:rsidRPr="00C373F2">
        <w:rPr>
          <w:i/>
        </w:rPr>
        <w:t xml:space="preserve">MTC </w:t>
      </w:r>
      <w:r w:rsidRPr="00465D73">
        <w:t>and that party’s insurer, and in conjunction with the provider of the Partial Home State Cover.</w:t>
      </w:r>
    </w:p>
    <w:p w:rsidR="00AC32A7" w:rsidRPr="00465D73" w:rsidRDefault="00AC32A7" w:rsidP="00AC32A7">
      <w:pPr>
        <w:pStyle w:val="Heading4"/>
        <w:keepNext/>
        <w:numPr>
          <w:ilvl w:val="3"/>
          <w:numId w:val="1"/>
        </w:numPr>
      </w:pPr>
      <w:r w:rsidRPr="00465D73">
        <w:lastRenderedPageBreak/>
        <w:t>Clause 4.10 shall be deleted and replaced with the following:</w:t>
      </w:r>
    </w:p>
    <w:p w:rsidR="00AC32A7" w:rsidRPr="00465D73" w:rsidRDefault="00AC32A7" w:rsidP="00AC32A7">
      <w:pPr>
        <w:keepNext/>
        <w:spacing w:after="240"/>
        <w:ind w:left="1985" w:hanging="709"/>
        <w:rPr>
          <w:b/>
        </w:rPr>
      </w:pPr>
      <w:r>
        <w:rPr>
          <w:b/>
        </w:rPr>
        <w:t>4.10</w:t>
      </w:r>
      <w:r>
        <w:rPr>
          <w:b/>
        </w:rPr>
        <w:tab/>
        <w:t>Conduct of a c</w:t>
      </w:r>
      <w:r w:rsidRPr="00465D73">
        <w:rPr>
          <w:b/>
        </w:rPr>
        <w:t>laim pending dispute resolution</w:t>
      </w:r>
    </w:p>
    <w:p w:rsidR="00AC32A7" w:rsidRPr="00465D73" w:rsidRDefault="00AC32A7" w:rsidP="00AC32A7">
      <w:pPr>
        <w:pStyle w:val="Body1"/>
        <w:ind w:left="1985"/>
      </w:pPr>
      <w:r w:rsidRPr="00465D73">
        <w:t xml:space="preserve">The insurance must provide that, pending resolution of any coverage dispute and without prejudice to any issue in dispute, the </w:t>
      </w:r>
      <w:r w:rsidRPr="00CE76FF">
        <w:rPr>
          <w:i/>
        </w:rPr>
        <w:t>insurer</w:t>
      </w:r>
      <w:r w:rsidRPr="00465D73">
        <w:t xml:space="preserve"> will, if so directed by the </w:t>
      </w:r>
      <w:r w:rsidRPr="00C373F2">
        <w:rPr>
          <w:i/>
        </w:rPr>
        <w:t>Society</w:t>
      </w:r>
      <w:r w:rsidRPr="00465D73">
        <w:t xml:space="preserve">, conduct any </w:t>
      </w:r>
      <w:r w:rsidRPr="00C373F2">
        <w:rPr>
          <w:i/>
        </w:rPr>
        <w:t>claim</w:t>
      </w:r>
      <w:r w:rsidRPr="00465D73">
        <w:t xml:space="preserve">, advance </w:t>
      </w:r>
      <w:r w:rsidRPr="00C373F2">
        <w:rPr>
          <w:i/>
        </w:rPr>
        <w:t>defence costs</w:t>
      </w:r>
      <w:r w:rsidRPr="00465D73">
        <w:t xml:space="preserve"> and, if appropriate, compromise and pay the </w:t>
      </w:r>
      <w:r w:rsidRPr="00C373F2">
        <w:rPr>
          <w:i/>
        </w:rPr>
        <w:t xml:space="preserve">claim </w:t>
      </w:r>
      <w:r w:rsidRPr="00465D73">
        <w:t xml:space="preserve">(whether alone or in conjunction with the provider of the Partial Home State Cover).  If the </w:t>
      </w:r>
      <w:r w:rsidRPr="00C373F2">
        <w:rPr>
          <w:i/>
        </w:rPr>
        <w:t xml:space="preserve">Society </w:t>
      </w:r>
      <w:r w:rsidRPr="00465D73">
        <w:t>is satisfied that:</w:t>
      </w:r>
    </w:p>
    <w:p w:rsidR="00AC32A7" w:rsidRPr="00465D73" w:rsidRDefault="00AC32A7" w:rsidP="00D63F15">
      <w:pPr>
        <w:pStyle w:val="Heading4"/>
        <w:numPr>
          <w:ilvl w:val="3"/>
          <w:numId w:val="3"/>
        </w:numPr>
        <w:ind w:left="2410" w:hanging="425"/>
      </w:pPr>
      <w:r w:rsidRPr="00465D73">
        <w:t>the party requesting the direction has taken all reasonable steps to resolve the dispute with the other party/</w:t>
      </w:r>
      <w:proofErr w:type="spellStart"/>
      <w:r w:rsidRPr="00465D73">
        <w:t>ies</w:t>
      </w:r>
      <w:proofErr w:type="spellEnd"/>
      <w:r w:rsidRPr="00465D73">
        <w:t>; and</w:t>
      </w:r>
    </w:p>
    <w:p w:rsidR="00AC32A7" w:rsidRPr="00465D73" w:rsidRDefault="00AC32A7" w:rsidP="00D63F15">
      <w:pPr>
        <w:pStyle w:val="Heading4"/>
        <w:numPr>
          <w:ilvl w:val="3"/>
          <w:numId w:val="3"/>
        </w:numPr>
        <w:ind w:left="2410" w:hanging="425"/>
      </w:pPr>
      <w:r w:rsidRPr="00465D73">
        <w:t xml:space="preserve">there is a reasonable prospect that the coverage dispute will be resolved or determined in the </w:t>
      </w:r>
      <w:r w:rsidRPr="002677F7">
        <w:rPr>
          <w:i/>
        </w:rPr>
        <w:t xml:space="preserve">insured’s </w:t>
      </w:r>
      <w:r>
        <w:t>favour; and</w:t>
      </w:r>
    </w:p>
    <w:p w:rsidR="00AC32A7" w:rsidRPr="00465D73" w:rsidRDefault="00AC32A7" w:rsidP="00D63F15">
      <w:pPr>
        <w:pStyle w:val="Heading4"/>
        <w:numPr>
          <w:ilvl w:val="3"/>
          <w:numId w:val="3"/>
        </w:numPr>
        <w:ind w:left="2410" w:hanging="425"/>
      </w:pPr>
      <w:r w:rsidRPr="00465D73">
        <w:t>it is fair and equitable in all the circumstances for such direction to be given;</w:t>
      </w:r>
    </w:p>
    <w:p w:rsidR="00AC32A7" w:rsidRPr="00465D73" w:rsidRDefault="00AC32A7" w:rsidP="00AC32A7">
      <w:pPr>
        <w:pStyle w:val="Body4"/>
        <w:ind w:left="1985"/>
      </w:pPr>
      <w:r w:rsidRPr="00465D73">
        <w:t>it may in its absolute discretion make such a direction.</w:t>
      </w:r>
    </w:p>
    <w:p w:rsidR="00AC32A7" w:rsidRPr="00465D73" w:rsidRDefault="00AC32A7" w:rsidP="00AC32A7">
      <w:pPr>
        <w:pStyle w:val="Heading4"/>
        <w:keepNext/>
        <w:numPr>
          <w:ilvl w:val="3"/>
          <w:numId w:val="1"/>
        </w:numPr>
      </w:pPr>
      <w:r w:rsidRPr="00465D73">
        <w:t>Clause 4.12 shall be added:</w:t>
      </w:r>
    </w:p>
    <w:p w:rsidR="00AC32A7" w:rsidRPr="00465D73" w:rsidRDefault="00AC32A7" w:rsidP="00AC32A7">
      <w:pPr>
        <w:keepNext/>
        <w:spacing w:after="240"/>
        <w:ind w:left="1985" w:hanging="709"/>
        <w:rPr>
          <w:b/>
        </w:rPr>
      </w:pPr>
      <w:r w:rsidRPr="00465D73">
        <w:rPr>
          <w:b/>
        </w:rPr>
        <w:t>4.12</w:t>
      </w:r>
      <w:r w:rsidRPr="00465D73">
        <w:rPr>
          <w:b/>
        </w:rPr>
        <w:tab/>
        <w:t xml:space="preserve">Period of </w:t>
      </w:r>
      <w:r>
        <w:rPr>
          <w:b/>
        </w:rPr>
        <w:t>i</w:t>
      </w:r>
      <w:r w:rsidRPr="00465D73">
        <w:rPr>
          <w:b/>
        </w:rPr>
        <w:t>nsurance</w:t>
      </w:r>
    </w:p>
    <w:p w:rsidR="00AC32A7" w:rsidRPr="00465D73" w:rsidRDefault="00AC32A7" w:rsidP="001D30CF">
      <w:pPr>
        <w:pStyle w:val="Body4"/>
        <w:ind w:left="1985"/>
      </w:pPr>
      <w:r w:rsidRPr="00465D73">
        <w:t xml:space="preserve">The </w:t>
      </w:r>
      <w:r w:rsidRPr="00C373F2">
        <w:rPr>
          <w:i/>
        </w:rPr>
        <w:t xml:space="preserve">period of insurance </w:t>
      </w:r>
      <w:r w:rsidRPr="00465D73">
        <w:t xml:space="preserve">must not expire prior to </w:t>
      </w:r>
      <w:r>
        <w:t xml:space="preserve">the date </w:t>
      </w:r>
      <w:r w:rsidRPr="00465D73">
        <w:t>with effect on which the Partial Home State Cover expires or is avoided.</w:t>
      </w:r>
    </w:p>
    <w:p w:rsidR="00AC32A7" w:rsidRPr="00465D73" w:rsidRDefault="00AC32A7" w:rsidP="00AC32A7">
      <w:pPr>
        <w:pStyle w:val="Heading4"/>
        <w:numPr>
          <w:ilvl w:val="3"/>
          <w:numId w:val="1"/>
        </w:numPr>
      </w:pPr>
      <w:r w:rsidRPr="00465D73">
        <w:t>The following clause shall be added:</w:t>
      </w:r>
    </w:p>
    <w:p w:rsidR="00AC32A7" w:rsidRPr="00465D73" w:rsidRDefault="00AC32A7" w:rsidP="00AC32A7">
      <w:pPr>
        <w:pStyle w:val="Body4"/>
        <w:keepNext/>
        <w:tabs>
          <w:tab w:val="left" w:pos="1985"/>
        </w:tabs>
        <w:ind w:left="1985" w:hanging="709"/>
        <w:rPr>
          <w:b/>
        </w:rPr>
      </w:pPr>
      <w:r w:rsidRPr="00465D73">
        <w:rPr>
          <w:b/>
        </w:rPr>
        <w:t>6.11</w:t>
      </w:r>
      <w:r w:rsidRPr="00465D73">
        <w:rPr>
          <w:b/>
        </w:rPr>
        <w:tab/>
        <w:t>Partial Home State Cover</w:t>
      </w:r>
    </w:p>
    <w:p w:rsidR="00AC32A7" w:rsidRPr="00465D73" w:rsidRDefault="00AC32A7" w:rsidP="00AC32A7">
      <w:pPr>
        <w:pStyle w:val="Body3"/>
        <w:ind w:left="1985"/>
      </w:pPr>
      <w:r w:rsidRPr="00465D73">
        <w:t xml:space="preserve">The insurance may exclude any liability of the </w:t>
      </w:r>
      <w:r w:rsidRPr="00C373F2">
        <w:rPr>
          <w:i/>
        </w:rPr>
        <w:t xml:space="preserve">insurer </w:t>
      </w:r>
      <w:r w:rsidRPr="00465D73">
        <w:t>to the extent that any such liability is covered under the terms of the Partial Home State Cover irrespective of whether recovery is actually made in respect of such liability.</w:t>
      </w:r>
    </w:p>
    <w:p w:rsidR="00AC32A7" w:rsidRPr="00465D73" w:rsidRDefault="00AC32A7" w:rsidP="00AC32A7">
      <w:pPr>
        <w:pStyle w:val="Body4"/>
      </w:pPr>
      <w:r w:rsidRPr="00465D73">
        <w:t xml:space="preserve">and </w:t>
      </w:r>
      <w:r>
        <w:t>in these Rules the</w:t>
      </w:r>
      <w:r w:rsidRPr="00465D73">
        <w:t xml:space="preserve"> following definition shall be added:</w:t>
      </w:r>
    </w:p>
    <w:p w:rsidR="00AC32A7" w:rsidRPr="00465D73" w:rsidRDefault="00AC32A7" w:rsidP="00AC32A7">
      <w:pPr>
        <w:pStyle w:val="Body4"/>
      </w:pPr>
      <w:r w:rsidRPr="00465D73">
        <w:rPr>
          <w:b/>
        </w:rPr>
        <w:t>Partial Home State Cover</w:t>
      </w:r>
      <w:r w:rsidRPr="00465D73">
        <w:t xml:space="preserve"> has the meaning given in</w:t>
      </w:r>
      <w:r w:rsidR="00054C25">
        <w:t xml:space="preserve"> Appendix 3</w:t>
      </w:r>
      <w:r w:rsidRPr="00465D73">
        <w:t xml:space="preserve"> to the </w:t>
      </w:r>
      <w:smartTag w:uri="urn:schemas-microsoft-com:office:smarttags" w:element="stockticker">
        <w:r w:rsidRPr="00257A54">
          <w:t>SRA</w:t>
        </w:r>
      </w:smartTag>
      <w:r w:rsidRPr="00257A54">
        <w:t xml:space="preserve"> Indemnity Insurance Rules 201</w:t>
      </w:r>
      <w:r w:rsidR="001D30CF">
        <w:t>3</w:t>
      </w:r>
      <w:r w:rsidRPr="00465D73">
        <w:t>.</w:t>
      </w:r>
    </w:p>
    <w:p w:rsidR="00AC32A7" w:rsidRPr="00465D73" w:rsidRDefault="00AC32A7" w:rsidP="00AC32A7">
      <w:pPr>
        <w:spacing w:after="240"/>
        <w:ind w:left="567" w:hanging="567"/>
      </w:pPr>
      <w:r w:rsidRPr="00465D73">
        <w:t>3</w:t>
      </w:r>
      <w:r w:rsidRPr="00465D73">
        <w:tab/>
        <w:t xml:space="preserve">In the event of an </w:t>
      </w:r>
      <w:r w:rsidRPr="00C373F2">
        <w:rPr>
          <w:i/>
        </w:rPr>
        <w:t xml:space="preserve">insured firm </w:t>
      </w:r>
      <w:r w:rsidRPr="00465D73">
        <w:t xml:space="preserve">which has the benefit of an exemption under paragraph 1 or paragraph 2 of this Appendix ceasing for whatever reason to enjoy that exemption but continuing to carry on a </w:t>
      </w:r>
      <w:r w:rsidRPr="00C373F2">
        <w:rPr>
          <w:i/>
        </w:rPr>
        <w:t xml:space="preserve">practice </w:t>
      </w:r>
      <w:r w:rsidRPr="00465D73">
        <w:t xml:space="preserve">it shall be treated for all the purposes of these Rules as though it had commenced the </w:t>
      </w:r>
      <w:r w:rsidRPr="00C373F2">
        <w:rPr>
          <w:i/>
        </w:rPr>
        <w:t xml:space="preserve">practice </w:t>
      </w:r>
      <w:r w:rsidRPr="00465D73">
        <w:t>on the date when such exemption ceased.</w:t>
      </w:r>
    </w:p>
    <w:p w:rsidR="00AC32A7" w:rsidRPr="00465D73" w:rsidRDefault="00AC32A7" w:rsidP="00AC32A7">
      <w:pPr>
        <w:spacing w:after="240"/>
        <w:ind w:left="567" w:hanging="567"/>
      </w:pPr>
      <w:r w:rsidRPr="00465D73">
        <w:t>4</w:t>
      </w:r>
      <w:r w:rsidRPr="00465D73">
        <w:tab/>
        <w:t xml:space="preserve">Rule 6 (Insolvency Event) shall apply to an </w:t>
      </w:r>
      <w:r w:rsidRPr="00C373F2">
        <w:rPr>
          <w:i/>
        </w:rPr>
        <w:t xml:space="preserve">insured firm </w:t>
      </w:r>
      <w:r w:rsidRPr="00465D73">
        <w:t xml:space="preserve">which has the benefit of an exemption under paragraph 1 or paragraph 2 of this Appendix in like manner as though the insurance company or entity or fund providing professional indemnity cover under its home professional rules, on the basis of which exemption or partial exemption was granted, was a </w:t>
      </w:r>
      <w:r w:rsidR="001D30CF">
        <w:rPr>
          <w:i/>
        </w:rPr>
        <w:t>participating</w:t>
      </w:r>
      <w:r w:rsidRPr="00C373F2">
        <w:rPr>
          <w:i/>
        </w:rPr>
        <w:t xml:space="preserve"> insurer</w:t>
      </w:r>
      <w:r w:rsidRPr="00465D73">
        <w:t>.</w:t>
      </w:r>
    </w:p>
    <w:p w:rsidR="00651926" w:rsidRDefault="00AC32A7" w:rsidP="00AC32A7">
      <w:pPr>
        <w:ind w:left="567" w:hanging="567"/>
      </w:pPr>
      <w:r w:rsidRPr="00465D73">
        <w:t>5</w:t>
      </w:r>
      <w:r w:rsidRPr="00465D73">
        <w:tab/>
        <w:t xml:space="preserve">In the case of an </w:t>
      </w:r>
      <w:r w:rsidRPr="00C373F2">
        <w:rPr>
          <w:i/>
        </w:rPr>
        <w:t xml:space="preserve">insured firm </w:t>
      </w:r>
      <w:r w:rsidRPr="00465D73">
        <w:t xml:space="preserve">which has the benefit of an exemption under paragraph 2 of this Appendix all the provisions of these Rules shall apply to the additional professional indemnity insurance required under that paragraph to be taken out with a </w:t>
      </w:r>
      <w:r w:rsidR="001D30CF">
        <w:rPr>
          <w:i/>
        </w:rPr>
        <w:t>participating</w:t>
      </w:r>
      <w:r w:rsidR="001D30CF" w:rsidRPr="00C373F2">
        <w:rPr>
          <w:i/>
        </w:rPr>
        <w:t xml:space="preserve"> </w:t>
      </w:r>
      <w:r w:rsidRPr="00C373F2">
        <w:rPr>
          <w:i/>
        </w:rPr>
        <w:t>insurer</w:t>
      </w:r>
      <w:r w:rsidRPr="00465D73">
        <w:t>.</w:t>
      </w:r>
    </w:p>
    <w:sectPr w:rsidR="00651926" w:rsidSect="008A7DA3">
      <w:headerReference w:type="default" r:id="rId7"/>
      <w:footerReference w:type="even" r:id="rId8"/>
      <w:footerReference w:type="default" r:id="rId9"/>
      <w:pgSz w:w="11906" w:h="16838" w:code="9"/>
      <w:pgMar w:top="1418" w:right="1418" w:bottom="1418" w:left="1418"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DA3" w:rsidRDefault="001F5AD0">
      <w:r>
        <w:separator/>
      </w:r>
    </w:p>
  </w:endnote>
  <w:endnote w:type="continuationSeparator" w:id="0">
    <w:p w:rsidR="008A7DA3" w:rsidRDefault="001F5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B" w:rsidRDefault="00397556">
    <w:pPr>
      <w:framePr w:wrap="around" w:vAnchor="text" w:hAnchor="margin" w:xAlign="center" w:y="1"/>
    </w:pPr>
    <w:r>
      <w:fldChar w:fldCharType="begin"/>
    </w:r>
    <w:r w:rsidR="00CF609B">
      <w:instrText xml:space="preserve">PAGE  </w:instrText>
    </w:r>
    <w:r>
      <w:fldChar w:fldCharType="end"/>
    </w:r>
  </w:p>
  <w:p w:rsidR="00CF609B" w:rsidRDefault="00CF60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9B" w:rsidRPr="00171FCA" w:rsidRDefault="00397556" w:rsidP="00A61E82">
    <w:pPr>
      <w:pStyle w:val="Footer"/>
    </w:pPr>
    <w:fldSimple w:instr=" DOCPROPERTY  iManageRef \* MERGEFORMAT ">
      <w:r w:rsidR="009C1924" w:rsidRPr="009C1924">
        <w:rPr>
          <w:rFonts w:cs="Arial"/>
        </w:rPr>
        <w:t>CFD-#10673164-v1</w:t>
      </w:r>
    </w:fldSimple>
    <w:r w:rsidR="00CF609B">
      <w:tab/>
    </w:r>
    <w:fldSimple w:instr="PAGE  ">
      <w:r w:rsidR="009C19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9B" w:rsidRDefault="00CF609B">
      <w:r>
        <w:continuationSeparator/>
      </w:r>
    </w:p>
  </w:footnote>
  <w:footnote w:type="continuationSeparator" w:id="0">
    <w:p w:rsidR="00CF609B" w:rsidRDefault="00CF609B">
      <w:r>
        <w:continuationSeparator/>
      </w:r>
    </w:p>
  </w:footnote>
  <w:footnote w:type="continuationNotice" w:id="1">
    <w:p w:rsidR="00CF609B" w:rsidRDefault="00CF60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A7" w:rsidRDefault="00054C25">
    <w:pPr>
      <w:pStyle w:val="Header"/>
    </w:pPr>
    <w:bookmarkStart w:id="14" w:name="OLE_LINK1"/>
    <w:bookmarkStart w:id="15" w:name="OLE_LINK2"/>
    <w:bookmarkStart w:id="16" w:name="_Hlk368324334"/>
    <w:smartTag w:uri="urn:schemas-microsoft-com:office:smarttags" w:element="stockticker">
      <w:r>
        <w:t>SRA</w:t>
      </w:r>
    </w:smartTag>
    <w:r>
      <w:t xml:space="preserve"> Indemnity Insurance Rules 201</w:t>
    </w:r>
    <w:r w:rsidR="004E735A">
      <w:t>3</w:t>
    </w:r>
    <w:r>
      <w:t xml:space="preserve"> - Appendix 3</w:t>
    </w:r>
    <w:bookmarkEnd w:id="14"/>
    <w:bookmarkEnd w:id="15"/>
    <w:bookmarkEnd w:id="1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7C8"/>
    <w:multiLevelType w:val="multilevel"/>
    <w:tmpl w:val="8ABE42B2"/>
    <w:lvl w:ilvl="0">
      <w:start w:val="1"/>
      <w:numFmt w:val="decimal"/>
      <w:pStyle w:val="SimpleH1"/>
      <w:lvlText w:val="%1"/>
      <w:lvlJc w:val="left"/>
      <w:pPr>
        <w:tabs>
          <w:tab w:val="num" w:pos="567"/>
        </w:tabs>
        <w:ind w:left="567" w:hanging="567"/>
      </w:pPr>
      <w:rPr>
        <w:rFonts w:hint="default"/>
      </w:rPr>
    </w:lvl>
    <w:lvl w:ilvl="1">
      <w:start w:val="1"/>
      <w:numFmt w:val="lowerLetter"/>
      <w:pStyle w:val="SimpleH2"/>
      <w:lvlText w:val="(%2)"/>
      <w:lvlJc w:val="left"/>
      <w:pPr>
        <w:tabs>
          <w:tab w:val="num" w:pos="1134"/>
        </w:tabs>
        <w:ind w:left="1134" w:hanging="567"/>
      </w:pPr>
      <w:rPr>
        <w:rFonts w:hint="default"/>
      </w:rPr>
    </w:lvl>
    <w:lvl w:ilvl="2">
      <w:start w:val="1"/>
      <w:numFmt w:val="lowerRoman"/>
      <w:pStyle w:val="SimpleH3"/>
      <w:lvlText w:val="(%3)"/>
      <w:lvlJc w:val="left"/>
      <w:pPr>
        <w:tabs>
          <w:tab w:val="num" w:pos="1701"/>
        </w:tabs>
        <w:ind w:left="1701" w:hanging="567"/>
      </w:pPr>
      <w:rPr>
        <w:rFonts w:hint="default"/>
      </w:rPr>
    </w:lvl>
    <w:lvl w:ilvl="3">
      <w:start w:val="1"/>
      <w:numFmt w:val="upperLetter"/>
      <w:pStyle w:val="SimpleH4"/>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1">
    <w:nsid w:val="02B2230C"/>
    <w:multiLevelType w:val="multilevel"/>
    <w:tmpl w:val="1862B13A"/>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567"/>
        </w:tabs>
        <w:ind w:left="567" w:hanging="454"/>
      </w:pPr>
    </w:lvl>
    <w:lvl w:ilvl="3">
      <w:start w:val="1"/>
      <w:numFmt w:val="lowerLetter"/>
      <w:lvlText w:val="(%4)"/>
      <w:lvlJc w:val="left"/>
      <w:pPr>
        <w:tabs>
          <w:tab w:val="num" w:pos="1276"/>
        </w:tabs>
        <w:ind w:left="1276" w:hanging="426"/>
      </w:pPr>
    </w:lvl>
    <w:lvl w:ilvl="4">
      <w:start w:val="1"/>
      <w:numFmt w:val="lowerRoman"/>
      <w:lvlText w:val="(%5)"/>
      <w:lvlJc w:val="left"/>
      <w:pPr>
        <w:tabs>
          <w:tab w:val="num" w:pos="1843"/>
        </w:tabs>
        <w:ind w:left="1843" w:hanging="567"/>
      </w:pPr>
    </w:lvl>
    <w:lvl w:ilvl="5">
      <w:start w:val="1"/>
      <w:numFmt w:val="upperLetter"/>
      <w:lvlText w:val="(%6)"/>
      <w:lvlJc w:val="left"/>
      <w:pPr>
        <w:tabs>
          <w:tab w:val="num" w:pos="2409"/>
        </w:tabs>
        <w:ind w:left="2409" w:hanging="566"/>
      </w:pPr>
    </w:lvl>
    <w:lvl w:ilvl="6">
      <w:start w:val="1"/>
      <w:numFmt w:val="decimal"/>
      <w:lvlText w:val="%7)"/>
      <w:lvlJc w:val="left"/>
      <w:pPr>
        <w:tabs>
          <w:tab w:val="num" w:pos="2976"/>
        </w:tabs>
        <w:ind w:left="2976" w:hanging="567"/>
      </w:pPr>
    </w:lvl>
    <w:lvl w:ilvl="7">
      <w:start w:val="1"/>
      <w:numFmt w:val="lowerLetter"/>
      <w:lvlText w:val="%8)"/>
      <w:lvlJc w:val="left"/>
      <w:pPr>
        <w:tabs>
          <w:tab w:val="num" w:pos="3543"/>
        </w:tabs>
        <w:ind w:left="3543" w:hanging="567"/>
      </w:pPr>
    </w:lvl>
    <w:lvl w:ilvl="8">
      <w:start w:val="1"/>
      <w:numFmt w:val="lowerRoman"/>
      <w:lvlText w:val="%9)"/>
      <w:lvlJc w:val="left"/>
      <w:pPr>
        <w:tabs>
          <w:tab w:val="num" w:pos="4110"/>
        </w:tabs>
        <w:ind w:left="4110" w:hanging="567"/>
      </w:pPr>
    </w:lvl>
  </w:abstractNum>
  <w:abstractNum w:abstractNumId="2">
    <w:nsid w:val="04F71CFD"/>
    <w:multiLevelType w:val="multilevel"/>
    <w:tmpl w:val="1EF4DF66"/>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95B0DEE"/>
    <w:multiLevelType w:val="multilevel"/>
    <w:tmpl w:val="AED8294A"/>
    <w:lvl w:ilvl="0">
      <w:start w:val="1"/>
      <w:numFmt w:val="decimal"/>
      <w:lvlText w:val="%1"/>
      <w:lvlJc w:val="left"/>
      <w:pPr>
        <w:tabs>
          <w:tab w:val="num" w:pos="567"/>
        </w:tabs>
        <w:ind w:left="567" w:hanging="567"/>
      </w:pPr>
      <w:rPr>
        <w:rFonts w:hint="default"/>
      </w:rPr>
    </w:lvl>
    <w:lvl w:ilvl="1">
      <w:start w:val="1"/>
      <w:numFmt w:val="lowerLetter"/>
      <w:lvlText w:val="(%2)"/>
      <w:lvlJc w:val="right"/>
      <w:pPr>
        <w:tabs>
          <w:tab w:val="num" w:pos="-454"/>
        </w:tabs>
        <w:ind w:left="-454" w:hanging="454"/>
      </w:pPr>
      <w:rPr>
        <w:rFonts w:hint="default"/>
      </w:rPr>
    </w:lvl>
    <w:lvl w:ilvl="2">
      <w:start w:val="1"/>
      <w:numFmt w:val="lowerRoman"/>
      <w:lvlText w:val="(%3)"/>
      <w:lvlJc w:val="left"/>
      <w:pPr>
        <w:tabs>
          <w:tab w:val="num" w:pos="680"/>
        </w:tabs>
        <w:ind w:left="1134"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pStyle w:val="SimpleH5"/>
      <w:lvlText w:val="%5)"/>
      <w:lvlJc w:val="left"/>
      <w:pPr>
        <w:tabs>
          <w:tab w:val="num" w:pos="822"/>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4">
    <w:nsid w:val="1C0816E1"/>
    <w:multiLevelType w:val="multilevel"/>
    <w:tmpl w:val="F48EABD0"/>
    <w:lvl w:ilvl="0">
      <w:start w:val="1"/>
      <w:numFmt w:val="decimal"/>
      <w:pStyle w:val="Heading1"/>
      <w:lvlText w:val="%1"/>
      <w:lvlJc w:val="right"/>
      <w:pPr>
        <w:tabs>
          <w:tab w:val="num" w:pos="568"/>
        </w:tabs>
        <w:ind w:left="568" w:hanging="454"/>
      </w:pPr>
      <w:rPr>
        <w:rFonts w:hint="default"/>
      </w:rPr>
    </w:lvl>
    <w:lvl w:ilvl="1">
      <w:start w:val="1"/>
      <w:numFmt w:val="decimal"/>
      <w:pStyle w:val="Heading2"/>
      <w:lvlText w:val="%1.%2"/>
      <w:lvlJc w:val="right"/>
      <w:pPr>
        <w:tabs>
          <w:tab w:val="num" w:pos="568"/>
        </w:tabs>
        <w:ind w:left="568" w:hanging="454"/>
      </w:pPr>
      <w:rPr>
        <w:rFonts w:hint="default"/>
      </w:rPr>
    </w:lvl>
    <w:lvl w:ilvl="2">
      <w:start w:val="1"/>
      <w:numFmt w:val="lowerLetter"/>
      <w:pStyle w:val="Heading3"/>
      <w:lvlText w:val="(%3)"/>
      <w:lvlJc w:val="left"/>
      <w:pPr>
        <w:tabs>
          <w:tab w:val="num" w:pos="1135"/>
        </w:tabs>
        <w:ind w:left="1135"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upperLetter"/>
      <w:pStyle w:val="Heading5"/>
      <w:lvlText w:val="(%5)"/>
      <w:lvlJc w:val="left"/>
      <w:pPr>
        <w:tabs>
          <w:tab w:val="num" w:pos="2268"/>
        </w:tabs>
        <w:ind w:left="2268" w:hanging="567"/>
      </w:pPr>
      <w:rPr>
        <w:rFonts w:hint="default"/>
      </w:rPr>
    </w:lvl>
    <w:lvl w:ilvl="5">
      <w:start w:val="1"/>
      <w:numFmt w:val="decimal"/>
      <w:pStyle w:val="Heading6"/>
      <w:lvlText w:val="(%6)"/>
      <w:lvlJc w:val="left"/>
      <w:pPr>
        <w:tabs>
          <w:tab w:val="num" w:pos="2835"/>
        </w:tabs>
        <w:ind w:left="2835" w:hanging="567"/>
      </w:pPr>
      <w:rPr>
        <w:rFonts w:hint="default"/>
      </w:rPr>
    </w:lvl>
    <w:lvl w:ilvl="6">
      <w:start w:val="1"/>
      <w:numFmt w:val="upperRoman"/>
      <w:pStyle w:val="Heading7"/>
      <w:lvlText w:val="(%7)"/>
      <w:lvlJc w:val="left"/>
      <w:pPr>
        <w:tabs>
          <w:tab w:val="num" w:pos="3402"/>
        </w:tabs>
        <w:ind w:left="3402" w:hanging="567"/>
      </w:pPr>
      <w:rPr>
        <w:rFonts w:hint="default"/>
      </w:rPr>
    </w:lvl>
    <w:lvl w:ilvl="7">
      <w:start w:val="1"/>
      <w:numFmt w:val="lowerLetter"/>
      <w:pStyle w:val="Heading8"/>
      <w:lvlText w:val="%8."/>
      <w:lvlJc w:val="left"/>
      <w:pPr>
        <w:tabs>
          <w:tab w:val="num" w:pos="3969"/>
        </w:tabs>
        <w:ind w:left="3969" w:hanging="567"/>
      </w:pPr>
      <w:rPr>
        <w:rFonts w:hint="default"/>
      </w:rPr>
    </w:lvl>
    <w:lvl w:ilvl="8">
      <w:start w:val="1"/>
      <w:numFmt w:val="lowerRoman"/>
      <w:pStyle w:val="Heading9"/>
      <w:lvlText w:val="%9."/>
      <w:lvlJc w:val="left"/>
      <w:pPr>
        <w:tabs>
          <w:tab w:val="num" w:pos="4536"/>
        </w:tabs>
        <w:ind w:left="4536" w:hanging="567"/>
      </w:pPr>
      <w:rPr>
        <w:rFonts w:hint="default"/>
        <w:color w:val="auto"/>
      </w:rPr>
    </w:lvl>
  </w:abstractNum>
  <w:abstractNum w:abstractNumId="5">
    <w:nsid w:val="286E4105"/>
    <w:multiLevelType w:val="multilevel"/>
    <w:tmpl w:val="1862B13A"/>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567"/>
        </w:tabs>
        <w:ind w:left="567" w:hanging="454"/>
      </w:pPr>
    </w:lvl>
    <w:lvl w:ilvl="3">
      <w:start w:val="1"/>
      <w:numFmt w:val="lowerLetter"/>
      <w:lvlText w:val="(%4)"/>
      <w:lvlJc w:val="left"/>
      <w:pPr>
        <w:tabs>
          <w:tab w:val="num" w:pos="1276"/>
        </w:tabs>
        <w:ind w:left="1276" w:hanging="426"/>
      </w:pPr>
    </w:lvl>
    <w:lvl w:ilvl="4">
      <w:start w:val="1"/>
      <w:numFmt w:val="lowerRoman"/>
      <w:lvlText w:val="(%5)"/>
      <w:lvlJc w:val="left"/>
      <w:pPr>
        <w:tabs>
          <w:tab w:val="num" w:pos="1843"/>
        </w:tabs>
        <w:ind w:left="1843" w:hanging="567"/>
      </w:pPr>
    </w:lvl>
    <w:lvl w:ilvl="5">
      <w:start w:val="1"/>
      <w:numFmt w:val="upperLetter"/>
      <w:lvlText w:val="(%6)"/>
      <w:lvlJc w:val="left"/>
      <w:pPr>
        <w:tabs>
          <w:tab w:val="num" w:pos="2409"/>
        </w:tabs>
        <w:ind w:left="2409" w:hanging="566"/>
      </w:pPr>
    </w:lvl>
    <w:lvl w:ilvl="6">
      <w:start w:val="1"/>
      <w:numFmt w:val="decimal"/>
      <w:lvlText w:val="%7)"/>
      <w:lvlJc w:val="left"/>
      <w:pPr>
        <w:tabs>
          <w:tab w:val="num" w:pos="2976"/>
        </w:tabs>
        <w:ind w:left="2976" w:hanging="567"/>
      </w:pPr>
    </w:lvl>
    <w:lvl w:ilvl="7">
      <w:start w:val="1"/>
      <w:numFmt w:val="lowerLetter"/>
      <w:lvlText w:val="%8)"/>
      <w:lvlJc w:val="left"/>
      <w:pPr>
        <w:tabs>
          <w:tab w:val="num" w:pos="3543"/>
        </w:tabs>
        <w:ind w:left="3543" w:hanging="567"/>
      </w:pPr>
    </w:lvl>
    <w:lvl w:ilvl="8">
      <w:start w:val="1"/>
      <w:numFmt w:val="lowerRoman"/>
      <w:lvlText w:val="%9)"/>
      <w:lvlJc w:val="left"/>
      <w:pPr>
        <w:tabs>
          <w:tab w:val="num" w:pos="4110"/>
        </w:tabs>
        <w:ind w:left="4110" w:hanging="567"/>
      </w:pPr>
    </w:lvl>
  </w:abstractNum>
  <w:abstractNum w:abstractNumId="6">
    <w:nsid w:val="447C129C"/>
    <w:multiLevelType w:val="hybridMultilevel"/>
    <w:tmpl w:val="1EC27B74"/>
    <w:lvl w:ilvl="0" w:tplc="4AB0D254">
      <w:start w:val="1"/>
      <w:numFmt w:val="upperLetter"/>
      <w:pStyle w:val="Recitals"/>
      <w:lvlText w:val="(%1)"/>
      <w:lvlJc w:val="left"/>
      <w:pPr>
        <w:tabs>
          <w:tab w:val="num" w:pos="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9DA5022"/>
    <w:multiLevelType w:val="multilevel"/>
    <w:tmpl w:val="8C7AA58C"/>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851"/>
        </w:tabs>
        <w:ind w:left="851" w:hanging="738"/>
      </w:pPr>
    </w:lvl>
    <w:lvl w:ilvl="3">
      <w:start w:val="1"/>
      <w:numFmt w:val="lowerLetter"/>
      <w:lvlText w:val="(%4)"/>
      <w:lvlJc w:val="left"/>
      <w:pPr>
        <w:tabs>
          <w:tab w:val="num" w:pos="1276"/>
        </w:tabs>
        <w:ind w:left="1276" w:hanging="425"/>
      </w:pPr>
    </w:lvl>
    <w:lvl w:ilvl="4">
      <w:start w:val="1"/>
      <w:numFmt w:val="lowerRoman"/>
      <w:lvlText w:val="(%5)"/>
      <w:lvlJc w:val="left"/>
      <w:pPr>
        <w:tabs>
          <w:tab w:val="num" w:pos="1996"/>
        </w:tabs>
        <w:ind w:left="1843" w:hanging="567"/>
      </w:pPr>
    </w:lvl>
    <w:lvl w:ilvl="5">
      <w:start w:val="1"/>
      <w:numFmt w:val="upperLetter"/>
      <w:lvlText w:val="(%6)"/>
      <w:lvlJc w:val="left"/>
      <w:pPr>
        <w:tabs>
          <w:tab w:val="num" w:pos="2410"/>
        </w:tabs>
        <w:ind w:left="2410" w:hanging="567"/>
      </w:pPr>
    </w:lvl>
    <w:lvl w:ilvl="6">
      <w:start w:val="1"/>
      <w:numFmt w:val="decimal"/>
      <w:lvlText w:val="%7)"/>
      <w:lvlJc w:val="left"/>
      <w:pPr>
        <w:tabs>
          <w:tab w:val="num" w:pos="2977"/>
        </w:tabs>
        <w:ind w:left="2977" w:hanging="567"/>
      </w:pPr>
    </w:lvl>
    <w:lvl w:ilvl="7">
      <w:start w:val="1"/>
      <w:numFmt w:val="lowerLetter"/>
      <w:lvlText w:val="%8)"/>
      <w:lvlJc w:val="left"/>
      <w:pPr>
        <w:tabs>
          <w:tab w:val="num" w:pos="3544"/>
        </w:tabs>
        <w:ind w:left="3544" w:hanging="567"/>
      </w:pPr>
    </w:lvl>
    <w:lvl w:ilvl="8">
      <w:start w:val="1"/>
      <w:numFmt w:val="lowerRoman"/>
      <w:lvlText w:val="%9)"/>
      <w:lvlJc w:val="left"/>
      <w:pPr>
        <w:tabs>
          <w:tab w:val="num" w:pos="4264"/>
        </w:tabs>
        <w:ind w:left="4111" w:hanging="567"/>
      </w:pPr>
    </w:lvl>
  </w:abstractNum>
  <w:abstractNum w:abstractNumId="8">
    <w:nsid w:val="621C05A0"/>
    <w:multiLevelType w:val="hybridMultilevel"/>
    <w:tmpl w:val="2F5674E6"/>
    <w:lvl w:ilvl="0" w:tplc="FFFFFFFF">
      <w:start w:val="1"/>
      <w:numFmt w:val="decimal"/>
      <w:pStyle w:val="Parties"/>
      <w:lvlText w:val="(%1)"/>
      <w:lvlJc w:val="left"/>
      <w:pPr>
        <w:tabs>
          <w:tab w:val="num" w:pos="0"/>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5"/>
  </w:num>
  <w:num w:numId="4">
    <w:abstractNumId w:val="4"/>
  </w:num>
  <w:num w:numId="5">
    <w:abstractNumId w:val="8"/>
  </w:num>
  <w:num w:numId="6">
    <w:abstractNumId w:val="6"/>
  </w:num>
  <w:num w:numId="7">
    <w:abstractNumId w:val="2"/>
  </w:num>
  <w:num w:numId="8">
    <w:abstractNumId w:val="0"/>
  </w:num>
  <w:num w:numId="9">
    <w:abstractNumId w:val="3"/>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attachedTemplate r:id="rId1"/>
  <w:stylePaneFormatFilter w:val="3F01"/>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rsids>
    <w:rsidRoot w:val="00BC62CD"/>
    <w:rsid w:val="00016A51"/>
    <w:rsid w:val="00054C25"/>
    <w:rsid w:val="000B370D"/>
    <w:rsid w:val="00100648"/>
    <w:rsid w:val="00171FCA"/>
    <w:rsid w:val="00182F24"/>
    <w:rsid w:val="0019081D"/>
    <w:rsid w:val="001D30CF"/>
    <w:rsid w:val="001F5AD0"/>
    <w:rsid w:val="00215410"/>
    <w:rsid w:val="002432DB"/>
    <w:rsid w:val="003268F0"/>
    <w:rsid w:val="00350CCB"/>
    <w:rsid w:val="00383CF7"/>
    <w:rsid w:val="00397556"/>
    <w:rsid w:val="00441D99"/>
    <w:rsid w:val="004B7931"/>
    <w:rsid w:val="004E735A"/>
    <w:rsid w:val="00527860"/>
    <w:rsid w:val="00596DDE"/>
    <w:rsid w:val="00651926"/>
    <w:rsid w:val="006F4BBA"/>
    <w:rsid w:val="00771502"/>
    <w:rsid w:val="007D3095"/>
    <w:rsid w:val="008A6DF0"/>
    <w:rsid w:val="008A7DA3"/>
    <w:rsid w:val="009003E3"/>
    <w:rsid w:val="009C1924"/>
    <w:rsid w:val="00A14323"/>
    <w:rsid w:val="00A2171B"/>
    <w:rsid w:val="00A462E0"/>
    <w:rsid w:val="00A61E82"/>
    <w:rsid w:val="00A677ED"/>
    <w:rsid w:val="00AB598A"/>
    <w:rsid w:val="00AC32A7"/>
    <w:rsid w:val="00AF68C1"/>
    <w:rsid w:val="00B02866"/>
    <w:rsid w:val="00B77959"/>
    <w:rsid w:val="00BC62CD"/>
    <w:rsid w:val="00BD6979"/>
    <w:rsid w:val="00C87611"/>
    <w:rsid w:val="00CA004D"/>
    <w:rsid w:val="00CF609B"/>
    <w:rsid w:val="00D409BA"/>
    <w:rsid w:val="00D512BC"/>
    <w:rsid w:val="00D5588D"/>
    <w:rsid w:val="00D63F15"/>
    <w:rsid w:val="00D915AF"/>
    <w:rsid w:val="00E7488E"/>
    <w:rsid w:val="00EB1FD5"/>
    <w:rsid w:val="00EB3AC6"/>
    <w:rsid w:val="00EC2EF3"/>
    <w:rsid w:val="00F54CE0"/>
    <w:rsid w:val="00FD58C4"/>
    <w:rsid w:val="00FE0BFA"/>
    <w:rsid w:val="00FF3F1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A7"/>
    <w:pPr>
      <w:jc w:val="both"/>
    </w:pPr>
    <w:rPr>
      <w:rFonts w:ascii="Arial" w:hAnsi="Arial"/>
      <w:lang w:eastAsia="en-US"/>
    </w:rPr>
  </w:style>
  <w:style w:type="paragraph" w:styleId="Heading1">
    <w:name w:val="heading 1"/>
    <w:aliases w:val="h1"/>
    <w:basedOn w:val="Normal"/>
    <w:next w:val="Body1"/>
    <w:qFormat/>
    <w:rsid w:val="00BC62CD"/>
    <w:pPr>
      <w:keepNext/>
      <w:numPr>
        <w:numId w:val="4"/>
      </w:numPr>
      <w:spacing w:after="240"/>
      <w:outlineLvl w:val="0"/>
    </w:pPr>
    <w:rPr>
      <w:rFonts w:cs="Arial"/>
      <w:b/>
      <w:bCs/>
      <w:kern w:val="32"/>
      <w:sz w:val="24"/>
      <w:szCs w:val="32"/>
    </w:rPr>
  </w:style>
  <w:style w:type="paragraph" w:styleId="Heading2">
    <w:name w:val="heading 2"/>
    <w:aliases w:val="h2"/>
    <w:basedOn w:val="Normal"/>
    <w:next w:val="Body2"/>
    <w:qFormat/>
    <w:rsid w:val="00BC62CD"/>
    <w:pPr>
      <w:numPr>
        <w:ilvl w:val="1"/>
        <w:numId w:val="4"/>
      </w:numPr>
      <w:spacing w:after="240"/>
      <w:outlineLvl w:val="1"/>
    </w:pPr>
    <w:rPr>
      <w:rFonts w:cs="Arial"/>
      <w:bCs/>
      <w:iCs/>
      <w:szCs w:val="28"/>
    </w:rPr>
  </w:style>
  <w:style w:type="paragraph" w:styleId="Heading3">
    <w:name w:val="heading 3"/>
    <w:aliases w:val="h3"/>
    <w:basedOn w:val="Normal"/>
    <w:next w:val="Body3"/>
    <w:qFormat/>
    <w:rsid w:val="00BC62CD"/>
    <w:pPr>
      <w:numPr>
        <w:ilvl w:val="2"/>
        <w:numId w:val="4"/>
      </w:numPr>
      <w:spacing w:after="240"/>
      <w:outlineLvl w:val="2"/>
    </w:pPr>
    <w:rPr>
      <w:rFonts w:cs="Arial"/>
      <w:bCs/>
      <w:szCs w:val="26"/>
    </w:rPr>
  </w:style>
  <w:style w:type="paragraph" w:styleId="Heading4">
    <w:name w:val="heading 4"/>
    <w:aliases w:val="h4"/>
    <w:basedOn w:val="Normal"/>
    <w:next w:val="Body4"/>
    <w:link w:val="Heading4Char"/>
    <w:qFormat/>
    <w:rsid w:val="00BC62CD"/>
    <w:pPr>
      <w:numPr>
        <w:ilvl w:val="3"/>
        <w:numId w:val="4"/>
      </w:numPr>
      <w:spacing w:after="240"/>
      <w:outlineLvl w:val="3"/>
    </w:pPr>
    <w:rPr>
      <w:bCs/>
      <w:szCs w:val="28"/>
    </w:rPr>
  </w:style>
  <w:style w:type="paragraph" w:styleId="Heading5">
    <w:name w:val="heading 5"/>
    <w:aliases w:val="h5"/>
    <w:basedOn w:val="Normal"/>
    <w:next w:val="Body5"/>
    <w:qFormat/>
    <w:rsid w:val="00BC62CD"/>
    <w:pPr>
      <w:numPr>
        <w:ilvl w:val="4"/>
        <w:numId w:val="4"/>
      </w:numPr>
      <w:spacing w:after="240"/>
      <w:outlineLvl w:val="4"/>
    </w:pPr>
    <w:rPr>
      <w:bCs/>
      <w:iCs/>
      <w:szCs w:val="26"/>
    </w:rPr>
  </w:style>
  <w:style w:type="paragraph" w:styleId="Heading6">
    <w:name w:val="heading 6"/>
    <w:aliases w:val="h6"/>
    <w:basedOn w:val="Normal"/>
    <w:next w:val="Body6"/>
    <w:qFormat/>
    <w:rsid w:val="00BC62CD"/>
    <w:pPr>
      <w:numPr>
        <w:ilvl w:val="5"/>
        <w:numId w:val="4"/>
      </w:numPr>
      <w:spacing w:after="240"/>
      <w:outlineLvl w:val="5"/>
    </w:pPr>
    <w:rPr>
      <w:bCs/>
      <w:szCs w:val="22"/>
    </w:rPr>
  </w:style>
  <w:style w:type="paragraph" w:styleId="Heading7">
    <w:name w:val="heading 7"/>
    <w:aliases w:val="h7"/>
    <w:basedOn w:val="Normal"/>
    <w:next w:val="Body7"/>
    <w:qFormat/>
    <w:rsid w:val="00BC62CD"/>
    <w:pPr>
      <w:numPr>
        <w:ilvl w:val="6"/>
        <w:numId w:val="4"/>
      </w:numPr>
      <w:spacing w:after="240"/>
      <w:outlineLvl w:val="6"/>
    </w:pPr>
  </w:style>
  <w:style w:type="paragraph" w:styleId="Heading8">
    <w:name w:val="heading 8"/>
    <w:aliases w:val="h8"/>
    <w:basedOn w:val="Normal"/>
    <w:next w:val="Body8"/>
    <w:qFormat/>
    <w:rsid w:val="00BC62CD"/>
    <w:pPr>
      <w:numPr>
        <w:ilvl w:val="7"/>
        <w:numId w:val="4"/>
      </w:numPr>
      <w:spacing w:after="240"/>
      <w:outlineLvl w:val="7"/>
    </w:pPr>
    <w:rPr>
      <w:iCs/>
    </w:rPr>
  </w:style>
  <w:style w:type="paragraph" w:styleId="Heading9">
    <w:name w:val="heading 9"/>
    <w:aliases w:val="h9"/>
    <w:basedOn w:val="Normal"/>
    <w:next w:val="Body9"/>
    <w:qFormat/>
    <w:rsid w:val="00BC62CD"/>
    <w:pPr>
      <w:numPr>
        <w:ilvl w:val="8"/>
        <w:numId w:val="4"/>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62CD"/>
    <w:pPr>
      <w:spacing w:after="240"/>
    </w:pPr>
  </w:style>
  <w:style w:type="paragraph" w:customStyle="1" w:styleId="BodyBold">
    <w:name w:val="Body Bold"/>
    <w:basedOn w:val="BodyText"/>
    <w:next w:val="BodyText"/>
    <w:rsid w:val="00BC62CD"/>
    <w:rPr>
      <w:b/>
    </w:rPr>
  </w:style>
  <w:style w:type="paragraph" w:customStyle="1" w:styleId="BodyBoldCentre">
    <w:name w:val="Body Bold Centre"/>
    <w:basedOn w:val="BodyBold"/>
    <w:next w:val="BodyText"/>
    <w:rsid w:val="00BC62CD"/>
    <w:pPr>
      <w:jc w:val="center"/>
    </w:pPr>
  </w:style>
  <w:style w:type="paragraph" w:customStyle="1" w:styleId="Body1">
    <w:name w:val="Body1"/>
    <w:basedOn w:val="Normal"/>
    <w:rsid w:val="00BC62CD"/>
    <w:pPr>
      <w:spacing w:after="240"/>
      <w:ind w:left="567"/>
    </w:pPr>
  </w:style>
  <w:style w:type="paragraph" w:customStyle="1" w:styleId="Body2">
    <w:name w:val="Body2"/>
    <w:basedOn w:val="Body1"/>
    <w:link w:val="Body2Char"/>
    <w:rsid w:val="00BC62CD"/>
  </w:style>
  <w:style w:type="paragraph" w:customStyle="1" w:styleId="Body3">
    <w:name w:val="Body3"/>
    <w:basedOn w:val="Body1"/>
    <w:rsid w:val="00BC62CD"/>
    <w:pPr>
      <w:ind w:left="1134"/>
    </w:pPr>
  </w:style>
  <w:style w:type="paragraph" w:customStyle="1" w:styleId="Body4">
    <w:name w:val="Body4"/>
    <w:basedOn w:val="Body1"/>
    <w:rsid w:val="00BC62CD"/>
    <w:pPr>
      <w:ind w:left="1701"/>
    </w:pPr>
  </w:style>
  <w:style w:type="paragraph" w:customStyle="1" w:styleId="Body5">
    <w:name w:val="Body5"/>
    <w:basedOn w:val="Body1"/>
    <w:rsid w:val="00BC62CD"/>
    <w:pPr>
      <w:ind w:left="2268"/>
    </w:pPr>
  </w:style>
  <w:style w:type="paragraph" w:customStyle="1" w:styleId="Body6">
    <w:name w:val="Body6"/>
    <w:basedOn w:val="Body1"/>
    <w:rsid w:val="00BC62CD"/>
    <w:pPr>
      <w:ind w:left="2835"/>
    </w:pPr>
  </w:style>
  <w:style w:type="paragraph" w:customStyle="1" w:styleId="Body7">
    <w:name w:val="Body7"/>
    <w:basedOn w:val="Body6"/>
    <w:rsid w:val="00BC62CD"/>
    <w:pPr>
      <w:ind w:left="3402"/>
    </w:pPr>
  </w:style>
  <w:style w:type="paragraph" w:customStyle="1" w:styleId="Body8">
    <w:name w:val="Body8"/>
    <w:basedOn w:val="Body7"/>
    <w:rsid w:val="00BC62CD"/>
    <w:pPr>
      <w:ind w:left="3969"/>
    </w:pPr>
  </w:style>
  <w:style w:type="paragraph" w:customStyle="1" w:styleId="Body9">
    <w:name w:val="Body9"/>
    <w:basedOn w:val="Body8"/>
    <w:rsid w:val="00BC62CD"/>
    <w:pPr>
      <w:ind w:left="4536"/>
    </w:pPr>
  </w:style>
  <w:style w:type="paragraph" w:styleId="Footer">
    <w:name w:val="footer"/>
    <w:basedOn w:val="Normal"/>
    <w:rsid w:val="009003E3"/>
    <w:pPr>
      <w:tabs>
        <w:tab w:val="center" w:pos="4536"/>
        <w:tab w:val="right" w:pos="9072"/>
      </w:tabs>
    </w:pPr>
    <w:rPr>
      <w:sz w:val="16"/>
    </w:rPr>
  </w:style>
  <w:style w:type="paragraph" w:styleId="Header">
    <w:name w:val="header"/>
    <w:basedOn w:val="Normal"/>
    <w:rsid w:val="00BC62CD"/>
    <w:pPr>
      <w:tabs>
        <w:tab w:val="center" w:pos="4536"/>
        <w:tab w:val="right" w:pos="9072"/>
      </w:tabs>
    </w:pPr>
  </w:style>
  <w:style w:type="paragraph" w:customStyle="1" w:styleId="Heading2Title">
    <w:name w:val="Heading 2 Title"/>
    <w:basedOn w:val="Heading2"/>
    <w:next w:val="Body2"/>
    <w:rsid w:val="00BC62CD"/>
    <w:pPr>
      <w:keepNext/>
      <w:numPr>
        <w:ilvl w:val="0"/>
        <w:numId w:val="0"/>
      </w:numPr>
      <w:ind w:left="567"/>
    </w:pPr>
    <w:rPr>
      <w:b/>
    </w:rPr>
  </w:style>
  <w:style w:type="character" w:styleId="Hyperlink">
    <w:name w:val="Hyperlink"/>
    <w:basedOn w:val="DefaultParagraphFont"/>
    <w:rsid w:val="00BC62CD"/>
    <w:rPr>
      <w:color w:val="0000FF"/>
      <w:u w:val="single"/>
    </w:rPr>
  </w:style>
  <w:style w:type="character" w:styleId="PageNumber">
    <w:name w:val="page number"/>
    <w:basedOn w:val="DefaultParagraphFont"/>
    <w:rsid w:val="00BC62CD"/>
  </w:style>
  <w:style w:type="paragraph" w:customStyle="1" w:styleId="Parties">
    <w:name w:val="Parties"/>
    <w:basedOn w:val="BodyText"/>
    <w:rsid w:val="00BC62CD"/>
    <w:pPr>
      <w:numPr>
        <w:numId w:val="5"/>
      </w:numPr>
    </w:pPr>
  </w:style>
  <w:style w:type="paragraph" w:customStyle="1" w:styleId="PrecedentNote">
    <w:name w:val="Precedent Note"/>
    <w:basedOn w:val="BodyText"/>
    <w:next w:val="BodyText"/>
    <w:rsid w:val="00BC62CD"/>
    <w:rPr>
      <w:b/>
      <w:i/>
      <w:color w:val="000080"/>
    </w:rPr>
  </w:style>
  <w:style w:type="paragraph" w:customStyle="1" w:styleId="Recitals">
    <w:name w:val="Recitals"/>
    <w:basedOn w:val="BodyText"/>
    <w:rsid w:val="00BC62CD"/>
    <w:pPr>
      <w:numPr>
        <w:numId w:val="6"/>
      </w:numPr>
    </w:pPr>
  </w:style>
  <w:style w:type="paragraph" w:customStyle="1" w:styleId="Schedule">
    <w:name w:val="Schedule"/>
    <w:basedOn w:val="Normal"/>
    <w:next w:val="BodyText"/>
    <w:rsid w:val="00BC62CD"/>
    <w:pPr>
      <w:pageBreakBefore/>
      <w:numPr>
        <w:numId w:val="7"/>
      </w:numPr>
      <w:spacing w:after="240" w:line="360" w:lineRule="auto"/>
      <w:jc w:val="center"/>
    </w:pPr>
    <w:rPr>
      <w:b/>
      <w:sz w:val="24"/>
    </w:rPr>
  </w:style>
  <w:style w:type="paragraph" w:customStyle="1" w:styleId="SectionHeading">
    <w:name w:val="Section Heading"/>
    <w:basedOn w:val="BodyText"/>
    <w:next w:val="BodyText"/>
    <w:rsid w:val="00BC62CD"/>
    <w:pPr>
      <w:jc w:val="center"/>
    </w:pPr>
    <w:rPr>
      <w:b/>
      <w:sz w:val="24"/>
    </w:rPr>
  </w:style>
  <w:style w:type="paragraph" w:customStyle="1" w:styleId="SimpleH1">
    <w:name w:val="Simple_H1"/>
    <w:basedOn w:val="BodyText"/>
    <w:rsid w:val="00BC62CD"/>
    <w:pPr>
      <w:numPr>
        <w:numId w:val="8"/>
      </w:numPr>
      <w:spacing w:line="360" w:lineRule="auto"/>
    </w:pPr>
  </w:style>
  <w:style w:type="paragraph" w:customStyle="1" w:styleId="SimpleH2">
    <w:name w:val="Simple_H2"/>
    <w:basedOn w:val="BodyText"/>
    <w:rsid w:val="00BC62CD"/>
    <w:pPr>
      <w:numPr>
        <w:ilvl w:val="1"/>
        <w:numId w:val="8"/>
      </w:numPr>
      <w:spacing w:line="360" w:lineRule="auto"/>
    </w:pPr>
  </w:style>
  <w:style w:type="paragraph" w:customStyle="1" w:styleId="SimpleH3">
    <w:name w:val="Simple_H3"/>
    <w:basedOn w:val="BodyText"/>
    <w:rsid w:val="00BC62CD"/>
    <w:pPr>
      <w:numPr>
        <w:ilvl w:val="2"/>
        <w:numId w:val="8"/>
      </w:numPr>
      <w:spacing w:line="360" w:lineRule="auto"/>
    </w:pPr>
  </w:style>
  <w:style w:type="paragraph" w:customStyle="1" w:styleId="SimpleH4">
    <w:name w:val="Simple_H4"/>
    <w:basedOn w:val="BodyText"/>
    <w:rsid w:val="00BC62CD"/>
    <w:pPr>
      <w:numPr>
        <w:ilvl w:val="3"/>
        <w:numId w:val="8"/>
      </w:numPr>
    </w:pPr>
  </w:style>
  <w:style w:type="paragraph" w:customStyle="1" w:styleId="SimpleH5">
    <w:name w:val="Simple_H5"/>
    <w:basedOn w:val="BodyText"/>
    <w:rsid w:val="00BC62CD"/>
    <w:pPr>
      <w:numPr>
        <w:ilvl w:val="4"/>
        <w:numId w:val="9"/>
      </w:numPr>
    </w:pPr>
  </w:style>
  <w:style w:type="paragraph" w:styleId="TOC1">
    <w:name w:val="toc 1"/>
    <w:basedOn w:val="Normal"/>
    <w:next w:val="Normal"/>
    <w:autoRedefine/>
    <w:rsid w:val="00BC62CD"/>
    <w:pPr>
      <w:tabs>
        <w:tab w:val="left" w:pos="567"/>
        <w:tab w:val="right" w:leader="dot" w:pos="9072"/>
      </w:tabs>
      <w:spacing w:before="240"/>
    </w:pPr>
  </w:style>
  <w:style w:type="paragraph" w:styleId="TOC2">
    <w:name w:val="toc 2"/>
    <w:basedOn w:val="Normal"/>
    <w:next w:val="Normal"/>
    <w:autoRedefine/>
    <w:rsid w:val="00BC62CD"/>
    <w:pPr>
      <w:tabs>
        <w:tab w:val="left" w:pos="567"/>
        <w:tab w:val="right" w:leader="dot" w:pos="9072"/>
      </w:tabs>
      <w:spacing w:before="240"/>
    </w:pPr>
  </w:style>
  <w:style w:type="paragraph" w:styleId="FootnoteText">
    <w:name w:val="footnote text"/>
    <w:basedOn w:val="Normal"/>
    <w:rsid w:val="00527860"/>
    <w:rPr>
      <w:sz w:val="16"/>
    </w:rPr>
  </w:style>
  <w:style w:type="character" w:customStyle="1" w:styleId="Body2Char">
    <w:name w:val="Body2 Char"/>
    <w:basedOn w:val="DefaultParagraphFont"/>
    <w:link w:val="Body2"/>
    <w:rsid w:val="00AC32A7"/>
    <w:rPr>
      <w:rFonts w:ascii="Arial" w:hAnsi="Arial"/>
      <w:szCs w:val="24"/>
      <w:lang w:val="en-GB" w:eastAsia="en-US" w:bidi="ar-SA"/>
    </w:rPr>
  </w:style>
  <w:style w:type="character" w:customStyle="1" w:styleId="Heading4Char">
    <w:name w:val="Heading 4 Char"/>
    <w:aliases w:val="h4 Char"/>
    <w:basedOn w:val="DefaultParagraphFont"/>
    <w:link w:val="Heading4"/>
    <w:rsid w:val="00AC32A7"/>
    <w:rPr>
      <w:rFonts w:ascii="Arial" w:hAnsi="Arial"/>
      <w:bCs/>
      <w:szCs w:val="28"/>
      <w:lang w:eastAsia="en-US"/>
    </w:rPr>
  </w:style>
  <w:style w:type="paragraph" w:customStyle="1" w:styleId="Appendix">
    <w:name w:val="Appendix"/>
    <w:basedOn w:val="BodyText"/>
    <w:next w:val="BodyText"/>
    <w:rsid w:val="00AC32A7"/>
    <w:pPr>
      <w:keepNext/>
      <w:pageBreakBefore/>
      <w:tabs>
        <w:tab w:val="num" w:pos="567"/>
      </w:tabs>
      <w:spacing w:line="288" w:lineRule="auto"/>
      <w:ind w:left="567" w:hanging="454"/>
      <w:jc w:val="left"/>
    </w:pPr>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orton%20rose\templates\Other\Free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FreeForm.dot</Template>
  <TotalTime>4</TotalTime>
  <Pages>2</Pages>
  <Words>963</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Enter title here</vt:lpstr>
    </vt:vector>
  </TitlesOfParts>
  <Company>Norton Rose</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Indemnity Insurance Rules 2013 - Appendix 3 - Special provisions for RELs </dc:title>
  <dc:subject/>
  <dc:creator>Solicitors Regulation Authority (SRA)</dc:creator>
  <cp:keywords/>
  <dc:description/>
  <cp:lastModifiedBy>jr2red</cp:lastModifiedBy>
  <cp:revision>6</cp:revision>
  <cp:lastPrinted>2013-09-30T16:10:00Z</cp:lastPrinted>
  <dcterms:created xsi:type="dcterms:W3CDTF">2013-06-18T14:59:00Z</dcterms:created>
  <dcterms:modified xsi:type="dcterms:W3CDTF">2013-09-30T16:12:00Z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CFD-#10673164-v1</vt:lpwstr>
  </property>
  <property fmtid="{D5CDD505-2E9C-101B-9397-08002B2CF9AE}" pid="3" name="iManageEng">
    <vt:lpwstr>0</vt:lpwstr>
  </property>
</Properties>
</file>